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2E1BB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b/>
        </w:rPr>
      </w:pPr>
      <w:bookmarkStart w:id="0" w:name="_Toc106088670"/>
    </w:p>
    <w:p w14:paraId="072ACD41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b/>
        </w:rPr>
      </w:pPr>
    </w:p>
    <w:p w14:paraId="3CB41200" w14:textId="77777777" w:rsidR="00ED11DE" w:rsidRPr="009B2C34" w:rsidRDefault="00ED11DE" w:rsidP="00ED11DE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75BD3155" w14:textId="77777777" w:rsidR="00ED11DE" w:rsidRPr="00ED11DE" w:rsidRDefault="00ED11DE" w:rsidP="00ED11DE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761A8270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720AE690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273C2776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49C2AB2A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4C2D472B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00101F75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05936F06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0416F068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7F1181E4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5DB0F3BE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6883A7A6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b/>
          <w:sz w:val="24"/>
        </w:rPr>
      </w:pPr>
      <w:r w:rsidRPr="00ED11DE">
        <w:rPr>
          <w:rFonts w:asciiTheme="minorHAnsi" w:hAnsiTheme="minorHAnsi" w:cstheme="minorHAnsi"/>
          <w:b/>
          <w:sz w:val="24"/>
        </w:rPr>
        <w:t>SZCZEGÓŁOWA SPECYFIKACJA TECHNICZNA</w:t>
      </w:r>
    </w:p>
    <w:p w14:paraId="1DC36D2A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b/>
          <w:sz w:val="24"/>
        </w:rPr>
      </w:pPr>
    </w:p>
    <w:p w14:paraId="6D3FA046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b/>
          <w:sz w:val="24"/>
        </w:rPr>
      </w:pPr>
    </w:p>
    <w:p w14:paraId="3CF48A3A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b/>
          <w:sz w:val="24"/>
        </w:rPr>
      </w:pPr>
    </w:p>
    <w:p w14:paraId="0C67A306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b/>
          <w:sz w:val="24"/>
        </w:rPr>
      </w:pPr>
    </w:p>
    <w:p w14:paraId="7EE5C962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b/>
          <w:sz w:val="24"/>
        </w:rPr>
      </w:pPr>
    </w:p>
    <w:p w14:paraId="506BBB3F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b/>
          <w:sz w:val="24"/>
        </w:rPr>
      </w:pPr>
    </w:p>
    <w:p w14:paraId="4FFB4976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b/>
        </w:rPr>
      </w:pPr>
    </w:p>
    <w:p w14:paraId="763E0B15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b/>
        </w:rPr>
      </w:pPr>
      <w:r w:rsidRPr="00ED11DE">
        <w:rPr>
          <w:rFonts w:asciiTheme="minorHAnsi" w:hAnsiTheme="minorHAnsi" w:cstheme="minorHAnsi"/>
          <w:b/>
        </w:rPr>
        <w:t>D-06.01.01g</w:t>
      </w:r>
    </w:p>
    <w:p w14:paraId="453C0EF4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v.1</w:t>
      </w:r>
    </w:p>
    <w:p w14:paraId="2C1676E4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b/>
          <w:sz w:val="24"/>
        </w:rPr>
      </w:pPr>
    </w:p>
    <w:p w14:paraId="74DBD0E8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b/>
        </w:rPr>
      </w:pPr>
    </w:p>
    <w:p w14:paraId="2FEA4A72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sz w:val="24"/>
        </w:rPr>
      </w:pPr>
      <w:r w:rsidRPr="00ED11DE">
        <w:rPr>
          <w:rFonts w:asciiTheme="minorHAnsi" w:hAnsiTheme="minorHAnsi" w:cstheme="minorHAnsi"/>
          <w:b/>
        </w:rPr>
        <w:t>UZUPEŁNIENIE  SKARP  KORPUSU  DROGI NARZUTEM  KAMIENNYM  ORAZ  WYKONANIE  UMOCNIENIA  SKARP  OBRUKIEM</w:t>
      </w:r>
    </w:p>
    <w:p w14:paraId="4A36BC1F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sz w:val="24"/>
        </w:rPr>
      </w:pPr>
    </w:p>
    <w:p w14:paraId="30DBE0C2" w14:textId="77777777" w:rsidR="00ED11DE" w:rsidRPr="00ED11DE" w:rsidRDefault="00ED11DE" w:rsidP="00ED11DE">
      <w:pPr>
        <w:jc w:val="center"/>
        <w:rPr>
          <w:rFonts w:asciiTheme="minorHAnsi" w:hAnsiTheme="minorHAnsi" w:cstheme="minorHAnsi"/>
          <w:sz w:val="24"/>
        </w:rPr>
      </w:pPr>
    </w:p>
    <w:p w14:paraId="7E4A30BD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7F3CC0B0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58B90DDB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4E557661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3FAB4FB0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2A1CF4B8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33E51242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75FA3887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1B5788FC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082EDB6E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08A4C110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338F3BD6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18F73CFD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5FEB6AE2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65704A0C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1FD5A86B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62AAE696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515D00E7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77F873C8" w14:textId="77777777" w:rsidR="00ED11DE" w:rsidRPr="00ED11DE" w:rsidRDefault="00ED11DE" w:rsidP="00ED11DE">
      <w:pPr>
        <w:jc w:val="center"/>
        <w:rPr>
          <w:rFonts w:asciiTheme="minorHAnsi" w:hAnsiTheme="minorHAnsi" w:cstheme="minorHAnsi"/>
        </w:rPr>
      </w:pPr>
    </w:p>
    <w:p w14:paraId="3D73F3E9" w14:textId="77777777" w:rsidR="00ED11DE" w:rsidRPr="009B2C34" w:rsidRDefault="00ED11DE" w:rsidP="00ED11DE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2460FE86" w14:textId="77777777" w:rsidR="00ED11DE" w:rsidRPr="009B2C34" w:rsidRDefault="00ED11DE" w:rsidP="00ED11DE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69B36783" w14:textId="77777777" w:rsidR="00ED11DE" w:rsidRPr="00ED11DE" w:rsidRDefault="00ED11DE" w:rsidP="00ED11DE">
      <w:pPr>
        <w:rPr>
          <w:rFonts w:asciiTheme="minorHAnsi" w:hAnsiTheme="minorHAnsi" w:cstheme="minorHAnsi"/>
        </w:rPr>
      </w:pPr>
    </w:p>
    <w:p w14:paraId="2296F56B" w14:textId="77777777" w:rsidR="00ED11DE" w:rsidRPr="00ED11DE" w:rsidRDefault="00ED11DE" w:rsidP="00ED11DE">
      <w:pPr>
        <w:rPr>
          <w:rFonts w:asciiTheme="minorHAnsi" w:hAnsiTheme="minorHAnsi" w:cstheme="minorHAnsi"/>
        </w:rPr>
      </w:pPr>
    </w:p>
    <w:p w14:paraId="1451C1C5" w14:textId="77777777" w:rsidR="00ED11DE" w:rsidRPr="00ED11DE" w:rsidRDefault="00ED11DE" w:rsidP="00ED11DE">
      <w:pPr>
        <w:rPr>
          <w:rFonts w:asciiTheme="minorHAnsi" w:hAnsiTheme="minorHAnsi" w:cstheme="minorHAnsi"/>
        </w:rPr>
      </w:pPr>
    </w:p>
    <w:p w14:paraId="0F6E544E" w14:textId="219B3249" w:rsidR="00ED11DE" w:rsidRPr="00ED11DE" w:rsidRDefault="00ED11DE" w:rsidP="00ED11DE">
      <w:pPr>
        <w:widowControl w:val="0"/>
        <w:numPr>
          <w:ilvl w:val="0"/>
          <w:numId w:val="34"/>
        </w:numPr>
        <w:tabs>
          <w:tab w:val="left" w:pos="284"/>
        </w:tabs>
        <w:overflowPunct/>
        <w:autoSpaceDE/>
        <w:autoSpaceDN/>
        <w:adjustRightInd/>
        <w:spacing w:before="120" w:after="120" w:line="276" w:lineRule="auto"/>
        <w:ind w:left="0" w:firstLine="0"/>
        <w:jc w:val="left"/>
        <w:textAlignment w:val="auto"/>
        <w:rPr>
          <w:rFonts w:asciiTheme="minorHAnsi" w:hAnsiTheme="minorHAnsi" w:cstheme="minorHAnsi"/>
          <w:b/>
        </w:rPr>
      </w:pPr>
      <w:bookmarkStart w:id="1" w:name="_Toc278438320"/>
      <w:bookmarkStart w:id="2" w:name="_Toc278523343"/>
      <w:bookmarkEnd w:id="0"/>
      <w:r w:rsidRPr="00ED11DE">
        <w:rPr>
          <w:rFonts w:asciiTheme="minorHAnsi" w:hAnsiTheme="minorHAnsi" w:cstheme="minorHAnsi"/>
          <w:b/>
        </w:rPr>
        <w:lastRenderedPageBreak/>
        <w:t>WSTĘP</w:t>
      </w:r>
      <w:bookmarkEnd w:id="1"/>
    </w:p>
    <w:p w14:paraId="16A4F24E" w14:textId="77777777" w:rsidR="00ED11DE" w:rsidRPr="00ED11DE" w:rsidRDefault="00ED11DE" w:rsidP="00ED11DE">
      <w:pPr>
        <w:widowControl w:val="0"/>
        <w:spacing w:before="120" w:after="120" w:line="276" w:lineRule="auto"/>
        <w:rPr>
          <w:rFonts w:asciiTheme="minorHAnsi" w:hAnsiTheme="minorHAnsi" w:cstheme="minorHAnsi"/>
          <w:b/>
        </w:rPr>
      </w:pPr>
      <w:r w:rsidRPr="00ED11DE">
        <w:rPr>
          <w:rFonts w:asciiTheme="minorHAnsi" w:hAnsiTheme="minorHAnsi" w:cstheme="minorHAnsi"/>
          <w:b/>
        </w:rPr>
        <w:t>1.1. Przedmiot SST</w:t>
      </w:r>
    </w:p>
    <w:p w14:paraId="50F05621" w14:textId="2B52149F" w:rsidR="00ED11DE" w:rsidRPr="00ED11DE" w:rsidRDefault="00ED11DE" w:rsidP="00ED11DE">
      <w:pPr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Przedmiotem niniejszej szczegółowej specyfikacji technicznej (SST) są wymagania dotyczące wykonania i odbioru robót i usług związanych z uzupełnieniem skarp korpusu drogi narzutem kamiennym (typu średniego do 1m</w:t>
      </w:r>
      <w:r w:rsidRPr="00ED11DE">
        <w:rPr>
          <w:rFonts w:asciiTheme="minorHAnsi" w:hAnsiTheme="minorHAnsi" w:cstheme="minorHAnsi"/>
          <w:vertAlign w:val="superscript"/>
        </w:rPr>
        <w:t>3</w:t>
      </w:r>
      <w:r w:rsidRPr="00ED11D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ED11DE">
        <w:rPr>
          <w:rFonts w:asciiTheme="minorHAnsi" w:hAnsiTheme="minorHAnsi" w:cstheme="minorHAnsi"/>
        </w:rPr>
        <w:t>i ciężkiego powyżej 1m</w:t>
      </w:r>
      <w:r w:rsidRPr="00ED11DE">
        <w:rPr>
          <w:rFonts w:asciiTheme="minorHAnsi" w:hAnsiTheme="minorHAnsi" w:cstheme="minorHAnsi"/>
          <w:vertAlign w:val="superscript"/>
        </w:rPr>
        <w:t>3</w:t>
      </w:r>
      <w:r w:rsidRPr="00ED11DE">
        <w:rPr>
          <w:rFonts w:asciiTheme="minorHAnsi" w:hAnsiTheme="minorHAnsi" w:cstheme="minorHAnsi"/>
        </w:rPr>
        <w:t xml:space="preserve">) oraz wykonanie umocnienia skarp </w:t>
      </w:r>
      <w:proofErr w:type="spellStart"/>
      <w:r w:rsidRPr="00ED11DE">
        <w:rPr>
          <w:rFonts w:asciiTheme="minorHAnsi" w:hAnsiTheme="minorHAnsi" w:cstheme="minorHAnsi"/>
        </w:rPr>
        <w:t>obrukiem</w:t>
      </w:r>
      <w:proofErr w:type="spellEnd"/>
      <w:r w:rsidRPr="00ED11DE">
        <w:rPr>
          <w:rFonts w:asciiTheme="minorHAnsi" w:hAnsiTheme="minorHAnsi" w:cstheme="minorHAnsi"/>
        </w:rPr>
        <w:t>.</w:t>
      </w:r>
    </w:p>
    <w:p w14:paraId="2F2507E1" w14:textId="77777777" w:rsidR="00ED11DE" w:rsidRPr="00ED11DE" w:rsidRDefault="00ED11DE" w:rsidP="00ED11DE">
      <w:pPr>
        <w:spacing w:before="120" w:after="120" w:line="276" w:lineRule="auto"/>
        <w:rPr>
          <w:rFonts w:asciiTheme="minorHAnsi" w:hAnsiTheme="minorHAnsi" w:cstheme="minorHAnsi"/>
          <w:b/>
          <w:i/>
          <w:iCs/>
          <w:snapToGrid w:val="0"/>
          <w:lang w:val="x-none" w:eastAsia="x-none"/>
        </w:rPr>
      </w:pPr>
      <w:r w:rsidRPr="00ED11DE">
        <w:rPr>
          <w:rFonts w:asciiTheme="minorHAnsi" w:hAnsiTheme="minorHAnsi" w:cstheme="minorHAnsi"/>
          <w:b/>
          <w:snapToGrid w:val="0"/>
          <w:lang w:val="x-none" w:eastAsia="x-none"/>
        </w:rPr>
        <w:t>1.2. Zakres stosowania SST</w:t>
      </w:r>
    </w:p>
    <w:p w14:paraId="1CCF3033" w14:textId="77777777" w:rsidR="00ED11DE" w:rsidRPr="00156044" w:rsidRDefault="00ED11DE" w:rsidP="00ED11DE">
      <w:pPr>
        <w:spacing w:before="120" w:after="120" w:line="276" w:lineRule="auto"/>
        <w:rPr>
          <w:rFonts w:asciiTheme="minorHAnsi" w:hAnsiTheme="minorHAnsi" w:cstheme="minorHAnsi"/>
        </w:rPr>
      </w:pPr>
      <w:bookmarkStart w:id="3" w:name="_Hlk56241919"/>
      <w:r w:rsidRPr="00156044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>
        <w:rPr>
          <w:rFonts w:asciiTheme="minorHAnsi" w:hAnsiTheme="minorHAnsi" w:cstheme="minorHAnsi"/>
          <w:kern w:val="28"/>
        </w:rPr>
        <w:br/>
      </w:r>
      <w:r w:rsidRPr="00156044">
        <w:rPr>
          <w:rFonts w:asciiTheme="minorHAnsi" w:hAnsiTheme="minorHAnsi" w:cstheme="minorHAnsi"/>
          <w:kern w:val="28"/>
        </w:rPr>
        <w:t xml:space="preserve">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>
        <w:rPr>
          <w:rFonts w:asciiTheme="minorHAnsi" w:hAnsiTheme="minorHAnsi" w:cstheme="minorHAnsi"/>
          <w:kern w:val="28"/>
        </w:rPr>
        <w:t>.</w:t>
      </w:r>
    </w:p>
    <w:bookmarkEnd w:id="3"/>
    <w:p w14:paraId="7830072B" w14:textId="77777777" w:rsidR="00ED11DE" w:rsidRPr="00ED11DE" w:rsidRDefault="00ED11DE" w:rsidP="00ED11DE">
      <w:pPr>
        <w:keepNext/>
        <w:widowControl w:val="0"/>
        <w:numPr>
          <w:ilvl w:val="12"/>
          <w:numId w:val="0"/>
        </w:numPr>
        <w:spacing w:before="120" w:after="120" w:line="276" w:lineRule="auto"/>
        <w:outlineLvl w:val="1"/>
        <w:rPr>
          <w:rFonts w:asciiTheme="minorHAnsi" w:hAnsiTheme="minorHAnsi" w:cstheme="minorHAnsi"/>
          <w:b/>
          <w:i/>
          <w:iCs/>
          <w:snapToGrid w:val="0"/>
          <w:lang w:val="x-none" w:eastAsia="x-none"/>
        </w:rPr>
      </w:pPr>
      <w:r w:rsidRPr="00ED11DE">
        <w:rPr>
          <w:rFonts w:asciiTheme="minorHAnsi" w:hAnsiTheme="minorHAnsi" w:cstheme="minorHAnsi"/>
          <w:b/>
          <w:snapToGrid w:val="0"/>
          <w:lang w:val="x-none" w:eastAsia="x-none"/>
        </w:rPr>
        <w:t>1.3. Zakres robót objętych SST</w:t>
      </w:r>
    </w:p>
    <w:p w14:paraId="658FE778" w14:textId="6DBA45D2" w:rsidR="00ED11DE" w:rsidRPr="00ED11DE" w:rsidRDefault="00ED11DE" w:rsidP="00ED11DE">
      <w:pPr>
        <w:spacing w:before="120" w:after="120" w:line="276" w:lineRule="auto"/>
        <w:contextualSpacing/>
        <w:rPr>
          <w:rFonts w:asciiTheme="minorHAnsi" w:hAnsiTheme="minorHAnsi" w:cstheme="minorHAnsi"/>
        </w:rPr>
      </w:pPr>
      <w:bookmarkStart w:id="4" w:name="_Toc278438321"/>
      <w:r w:rsidRPr="00ED11DE">
        <w:rPr>
          <w:rFonts w:asciiTheme="minorHAnsi" w:hAnsiTheme="minorHAnsi" w:cstheme="minorHAnsi"/>
        </w:rPr>
        <w:t xml:space="preserve">Ustalenia zawarte w niniejszej specyfikacji </w:t>
      </w:r>
      <w:r w:rsidRPr="00156044">
        <w:rPr>
          <w:rFonts w:asciiTheme="minorHAnsi" w:hAnsiTheme="minorHAnsi" w:cstheme="minorHAnsi"/>
        </w:rPr>
        <w:t xml:space="preserve">obejmują wymagania dotyczące prac bieżącego utrzymania dróg </w:t>
      </w:r>
      <w:r>
        <w:rPr>
          <w:rFonts w:asciiTheme="minorHAnsi" w:hAnsiTheme="minorHAnsi" w:cstheme="minorHAnsi"/>
        </w:rPr>
        <w:br/>
      </w:r>
      <w:r w:rsidRPr="00156044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156044">
        <w:rPr>
          <w:rFonts w:asciiTheme="minorHAnsi" w:hAnsiTheme="minorHAnsi" w:cstheme="minorHAnsi"/>
        </w:rPr>
        <w:t>zakresie</w:t>
      </w:r>
      <w:r w:rsidRPr="00ED11DE">
        <w:rPr>
          <w:rFonts w:asciiTheme="minorHAnsi" w:hAnsiTheme="minorHAnsi" w:cstheme="minorHAnsi"/>
        </w:rPr>
        <w:t>:</w:t>
      </w:r>
    </w:p>
    <w:p w14:paraId="5CAFC155" w14:textId="77777777" w:rsidR="00ED11DE" w:rsidRPr="00ED11DE" w:rsidRDefault="00ED11DE" w:rsidP="00ED11DE">
      <w:pPr>
        <w:numPr>
          <w:ilvl w:val="0"/>
          <w:numId w:val="33"/>
        </w:numPr>
        <w:overflowPunct/>
        <w:autoSpaceDE/>
        <w:autoSpaceDN/>
        <w:adjustRightInd/>
        <w:spacing w:before="120" w:after="120" w:line="276" w:lineRule="auto"/>
        <w:contextualSpacing/>
        <w:jc w:val="left"/>
        <w:textAlignment w:val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uzupełnienie  skarp korpusu drogi narzutem kamiennym typu średniego (do 1 m</w:t>
      </w:r>
      <w:r w:rsidRPr="00ED11DE">
        <w:rPr>
          <w:rFonts w:asciiTheme="minorHAnsi" w:hAnsiTheme="minorHAnsi" w:cstheme="minorHAnsi"/>
          <w:vertAlign w:val="superscript"/>
        </w:rPr>
        <w:t>3</w:t>
      </w:r>
      <w:r w:rsidRPr="00ED11DE">
        <w:rPr>
          <w:rFonts w:asciiTheme="minorHAnsi" w:hAnsiTheme="minorHAnsi" w:cstheme="minorHAnsi"/>
        </w:rPr>
        <w:t>)</w:t>
      </w:r>
    </w:p>
    <w:p w14:paraId="5D98B271" w14:textId="77777777" w:rsidR="00ED11DE" w:rsidRPr="00ED11DE" w:rsidRDefault="00ED11DE" w:rsidP="00ED11DE">
      <w:pPr>
        <w:numPr>
          <w:ilvl w:val="0"/>
          <w:numId w:val="33"/>
        </w:numPr>
        <w:overflowPunct/>
        <w:autoSpaceDE/>
        <w:autoSpaceDN/>
        <w:adjustRightInd/>
        <w:spacing w:before="120" w:after="120" w:line="276" w:lineRule="auto"/>
        <w:contextualSpacing/>
        <w:jc w:val="left"/>
        <w:textAlignment w:val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uzupełnienie  skarp korpusu drogi narzutem kamiennym typu ciężkiego (powyżej 1 m</w:t>
      </w:r>
      <w:r w:rsidRPr="00ED11DE">
        <w:rPr>
          <w:rFonts w:asciiTheme="minorHAnsi" w:hAnsiTheme="minorHAnsi" w:cstheme="minorHAnsi"/>
          <w:vertAlign w:val="superscript"/>
        </w:rPr>
        <w:t>3</w:t>
      </w:r>
      <w:r w:rsidRPr="00ED11DE">
        <w:rPr>
          <w:rFonts w:asciiTheme="minorHAnsi" w:hAnsiTheme="minorHAnsi" w:cstheme="minorHAnsi"/>
        </w:rPr>
        <w:t>)</w:t>
      </w:r>
    </w:p>
    <w:p w14:paraId="46028DB7" w14:textId="77777777" w:rsidR="00ED11DE" w:rsidRPr="00ED11DE" w:rsidRDefault="00ED11DE" w:rsidP="00ED11DE">
      <w:pPr>
        <w:numPr>
          <w:ilvl w:val="0"/>
          <w:numId w:val="33"/>
        </w:numPr>
        <w:overflowPunct/>
        <w:autoSpaceDE/>
        <w:autoSpaceDN/>
        <w:adjustRightInd/>
        <w:spacing w:before="120" w:after="120" w:line="276" w:lineRule="auto"/>
        <w:contextualSpacing/>
        <w:jc w:val="left"/>
        <w:textAlignment w:val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 xml:space="preserve">wykonanie umocnienia skarp </w:t>
      </w:r>
      <w:proofErr w:type="spellStart"/>
      <w:r w:rsidRPr="00ED11DE">
        <w:rPr>
          <w:rFonts w:asciiTheme="minorHAnsi" w:hAnsiTheme="minorHAnsi" w:cstheme="minorHAnsi"/>
        </w:rPr>
        <w:t>obrukiem</w:t>
      </w:r>
      <w:proofErr w:type="spellEnd"/>
      <w:r w:rsidRPr="00ED11DE">
        <w:rPr>
          <w:rFonts w:asciiTheme="minorHAnsi" w:hAnsiTheme="minorHAnsi" w:cstheme="minorHAnsi"/>
        </w:rPr>
        <w:t xml:space="preserve"> (kamień na betonie)</w:t>
      </w:r>
    </w:p>
    <w:p w14:paraId="6B037833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5" w:name="_Toc278461953"/>
      <w:bookmarkEnd w:id="2"/>
      <w:bookmarkEnd w:id="4"/>
      <w:r w:rsidRPr="00ED11DE">
        <w:rPr>
          <w:rFonts w:cstheme="minorHAnsi"/>
        </w:rPr>
        <w:t>1.4. Określenia podstawowe</w:t>
      </w:r>
      <w:bookmarkEnd w:id="5"/>
      <w:r w:rsidRPr="00ED11DE">
        <w:rPr>
          <w:rFonts w:cstheme="minorHAnsi"/>
        </w:rPr>
        <w:t xml:space="preserve"> </w:t>
      </w:r>
    </w:p>
    <w:p w14:paraId="7F272ABE" w14:textId="77777777" w:rsidR="00ED11DE" w:rsidRPr="00ED11DE" w:rsidRDefault="00ED11DE" w:rsidP="00ED11DE">
      <w:pPr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Określenia podstawowe są zgodne z odpowiednimi polskimi normami i z definicjami podanymi w ST D-M-00.00.00 Wymagania ogólne [1] pkt 1.4.</w:t>
      </w:r>
    </w:p>
    <w:p w14:paraId="1C9FC2B9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6" w:name="_Toc278461954"/>
      <w:r w:rsidRPr="00ED11DE">
        <w:rPr>
          <w:rFonts w:cstheme="minorHAnsi"/>
        </w:rPr>
        <w:t xml:space="preserve">1.5. Ogólne wymagania dotyczące </w:t>
      </w:r>
      <w:bookmarkEnd w:id="6"/>
      <w:r w:rsidRPr="00ED11DE">
        <w:rPr>
          <w:rFonts w:cstheme="minorHAnsi"/>
        </w:rPr>
        <w:t>robót</w:t>
      </w:r>
    </w:p>
    <w:p w14:paraId="37FDE4E3" w14:textId="77777777" w:rsidR="00ED11DE" w:rsidRPr="00ED11DE" w:rsidRDefault="00ED11DE" w:rsidP="00ED11DE">
      <w:pPr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Ogólne wymagania dotyczące robót podano w SST D-M-00.00.00 Wymagania ogólne [1] pkt 1.5.</w:t>
      </w:r>
    </w:p>
    <w:p w14:paraId="22429C5A" w14:textId="16876E69" w:rsidR="00ED11DE" w:rsidRPr="00ED11DE" w:rsidRDefault="00ED11DE" w:rsidP="00ED11DE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Wykonawca jest odpowiedzialny za jakość wykonania prac oraz za zgodność z</w:t>
      </w:r>
      <w:r w:rsidRPr="00ED11DE">
        <w:rPr>
          <w:rFonts w:asciiTheme="minorHAnsi" w:hAnsiTheme="minorHAnsi" w:cstheme="minorHAnsi"/>
          <w:color w:val="FF0000"/>
        </w:rPr>
        <w:t xml:space="preserve"> </w:t>
      </w:r>
      <w:r w:rsidRPr="00ED11DE">
        <w:rPr>
          <w:rFonts w:asciiTheme="minorHAnsi" w:hAnsiTheme="minorHAnsi" w:cstheme="minorHAnsi"/>
        </w:rPr>
        <w:t>ST i poleceniami Przedstawiciela Zamawiającego.</w:t>
      </w:r>
    </w:p>
    <w:p w14:paraId="7074F1E6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</w:rPr>
      </w:pPr>
      <w:bookmarkStart w:id="7" w:name="_Toc278523346"/>
      <w:r w:rsidRPr="00ED11DE">
        <w:rPr>
          <w:rFonts w:cstheme="minorHAnsi"/>
        </w:rPr>
        <w:t>2. MATERIAŁY</w:t>
      </w:r>
      <w:bookmarkEnd w:id="7"/>
    </w:p>
    <w:p w14:paraId="5170F027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8" w:name="_Toc278461956"/>
      <w:r w:rsidRPr="00ED11DE">
        <w:rPr>
          <w:rFonts w:cstheme="minorHAnsi"/>
        </w:rPr>
        <w:t>2.1. Ogólne wymagania dotyczące materiałów</w:t>
      </w:r>
      <w:bookmarkEnd w:id="8"/>
    </w:p>
    <w:p w14:paraId="74B9DBB6" w14:textId="64A36FCF" w:rsidR="00ED11DE" w:rsidRPr="00ED11DE" w:rsidRDefault="00ED11DE" w:rsidP="00ED11DE">
      <w:pPr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Ogólne wymagania dotyczące materiałów, ich pozyskiwania i składowania, podano w SST D-M-00.00.00 Wymagania ogólne [1] pkt 2.</w:t>
      </w:r>
    </w:p>
    <w:p w14:paraId="192EC344" w14:textId="77777777" w:rsidR="00ED11DE" w:rsidRPr="00ED11DE" w:rsidRDefault="00ED11DE" w:rsidP="00ED11DE">
      <w:pPr>
        <w:pStyle w:val="Nagwek2"/>
        <w:spacing w:before="120" w:after="120" w:line="276" w:lineRule="auto"/>
        <w:rPr>
          <w:rFonts w:cstheme="minorHAnsi"/>
          <w:i/>
          <w:iCs/>
        </w:rPr>
      </w:pPr>
      <w:bookmarkStart w:id="9" w:name="_Toc278461957"/>
      <w:r w:rsidRPr="00ED11DE">
        <w:rPr>
          <w:rFonts w:cstheme="minorHAnsi"/>
        </w:rPr>
        <w:t xml:space="preserve">2.2. </w:t>
      </w:r>
      <w:bookmarkEnd w:id="9"/>
      <w:r w:rsidRPr="00ED11DE">
        <w:rPr>
          <w:rFonts w:cstheme="minorHAnsi"/>
        </w:rPr>
        <w:t>Materiały do wykonania robót</w:t>
      </w:r>
    </w:p>
    <w:p w14:paraId="3205BBC8" w14:textId="77777777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  <w:u w:val="single"/>
        </w:rPr>
        <w:t>Kamień łamany</w:t>
      </w:r>
      <w:r w:rsidRPr="00ED11DE">
        <w:rPr>
          <w:rFonts w:asciiTheme="minorHAnsi" w:hAnsiTheme="minorHAnsi" w:cstheme="minorHAnsi"/>
        </w:rPr>
        <w:t xml:space="preserve"> - przewidziano zastosowanie kamienia łamanego:</w:t>
      </w:r>
    </w:p>
    <w:p w14:paraId="2101A45A" w14:textId="77777777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- kamień łamany typu średniego – kamień naturalny, łamany o kształcie zbliżonym do bryły sześciennej o wymiarach boków nie mniejszym od 30 cm i nie większym od 90 cm,</w:t>
      </w:r>
    </w:p>
    <w:p w14:paraId="570AC91E" w14:textId="77777777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- kamień łamany typu ciężkiego - kamień naturalny, łamany o kształcie zbliżonym do bryły sześciennej, w której najmniejszy z boków nie powinien być mniejszy od 90 cm</w:t>
      </w:r>
    </w:p>
    <w:p w14:paraId="53D2551F" w14:textId="77777777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Kamień powinien odpowiadać następującym wymaganiom:</w:t>
      </w:r>
    </w:p>
    <w:p w14:paraId="47185C34" w14:textId="77777777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- być odpornym na działanie wody i mrozu,</w:t>
      </w:r>
    </w:p>
    <w:p w14:paraId="0C961DD8" w14:textId="77777777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- odznaczać się dużym ciężarem właściwym min. 2,4 g/cm</w:t>
      </w:r>
      <w:r w:rsidRPr="00ED11DE">
        <w:rPr>
          <w:rFonts w:asciiTheme="minorHAnsi" w:hAnsiTheme="minorHAnsi" w:cstheme="minorHAnsi"/>
          <w:vertAlign w:val="superscript"/>
        </w:rPr>
        <w:t>3</w:t>
      </w:r>
      <w:r w:rsidRPr="00ED11DE">
        <w:rPr>
          <w:rFonts w:asciiTheme="minorHAnsi" w:hAnsiTheme="minorHAnsi" w:cstheme="minorHAnsi"/>
        </w:rPr>
        <w:t>,</w:t>
      </w:r>
    </w:p>
    <w:p w14:paraId="7603B0F8" w14:textId="77777777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 xml:space="preserve">- nie może ulegać ługującemu działaniu wody, </w:t>
      </w:r>
      <w:proofErr w:type="spellStart"/>
      <w:r w:rsidRPr="00ED11DE">
        <w:rPr>
          <w:rFonts w:asciiTheme="minorHAnsi" w:hAnsiTheme="minorHAnsi" w:cstheme="minorHAnsi"/>
        </w:rPr>
        <w:t>mięknieć</w:t>
      </w:r>
      <w:proofErr w:type="spellEnd"/>
      <w:r w:rsidRPr="00ED11DE">
        <w:rPr>
          <w:rFonts w:asciiTheme="minorHAnsi" w:hAnsiTheme="minorHAnsi" w:cstheme="minorHAnsi"/>
        </w:rPr>
        <w:t xml:space="preserve"> i rozsypywać się.</w:t>
      </w:r>
    </w:p>
    <w:p w14:paraId="06A92191" w14:textId="77777777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  <w:b/>
        </w:rPr>
      </w:pPr>
      <w:r w:rsidRPr="00ED11DE">
        <w:rPr>
          <w:rFonts w:asciiTheme="minorHAnsi" w:hAnsiTheme="minorHAnsi" w:cstheme="minorHAnsi"/>
          <w:b/>
        </w:rPr>
        <w:t>2.2.1. Skały przydatne bez zastrzeżeń</w:t>
      </w:r>
    </w:p>
    <w:p w14:paraId="21797ABD" w14:textId="77777777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- skały magmowe głębinowe: dioryt, granit, gabro, sjenit, porfir</w:t>
      </w:r>
    </w:p>
    <w:p w14:paraId="4C666DF1" w14:textId="77777777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- skały magmowe wylewne: porfir, andezyt, diabaz, melafir</w:t>
      </w:r>
    </w:p>
    <w:p w14:paraId="109482C2" w14:textId="6D0544D8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lastRenderedPageBreak/>
        <w:t>- skały metamorficzne: amfibolit, gnejs, kwarcyt, marmur,</w:t>
      </w:r>
    </w:p>
    <w:p w14:paraId="2C68F58A" w14:textId="2C7F269A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- skały osadowe: piaskowiec kwarcytowy, piaskowiec krzemionkowy, piaskowiec szarogłaz</w:t>
      </w:r>
      <w:r>
        <w:rPr>
          <w:rFonts w:asciiTheme="minorHAnsi" w:hAnsiTheme="minorHAnsi" w:cstheme="minorHAnsi"/>
        </w:rPr>
        <w:t>owy</w:t>
      </w:r>
      <w:r w:rsidRPr="00ED11DE">
        <w:rPr>
          <w:rFonts w:asciiTheme="minorHAnsi" w:hAnsiTheme="minorHAnsi" w:cstheme="minorHAnsi"/>
        </w:rPr>
        <w:t>.</w:t>
      </w:r>
    </w:p>
    <w:p w14:paraId="51A0774A" w14:textId="77777777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  <w:b/>
        </w:rPr>
      </w:pPr>
      <w:r w:rsidRPr="00ED11DE">
        <w:rPr>
          <w:rFonts w:asciiTheme="minorHAnsi" w:hAnsiTheme="minorHAnsi" w:cstheme="minorHAnsi"/>
          <w:b/>
        </w:rPr>
        <w:t>2.2.2. Skały przydatne z zastrzeżeniami</w:t>
      </w:r>
    </w:p>
    <w:p w14:paraId="140D28A7" w14:textId="2E181B5D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- bazalt</w:t>
      </w:r>
      <w:r>
        <w:rPr>
          <w:rFonts w:asciiTheme="minorHAnsi" w:hAnsiTheme="minorHAnsi" w:cstheme="minorHAnsi"/>
        </w:rPr>
        <w:t xml:space="preserve"> </w:t>
      </w:r>
      <w:r w:rsidRPr="00ED11DE">
        <w:rPr>
          <w:rFonts w:asciiTheme="minorHAnsi" w:hAnsiTheme="minorHAnsi" w:cstheme="minorHAnsi"/>
        </w:rPr>
        <w:t>– po sprawdzeniu odporności na zgorzel słoneczną,</w:t>
      </w:r>
    </w:p>
    <w:p w14:paraId="57DD4F2E" w14:textId="77777777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- wapień krystaliczny – po sprawdzeniu mrozoodporności, wymagana poniżej 4%.</w:t>
      </w:r>
    </w:p>
    <w:p w14:paraId="6033809C" w14:textId="77777777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- serpentynit – po sprawdzeniu nasiąkliwości, wymagana poniżej 2%.</w:t>
      </w:r>
    </w:p>
    <w:p w14:paraId="32D9C5E7" w14:textId="6DDE7CE6" w:rsidR="00ED11DE" w:rsidRPr="00ED11DE" w:rsidRDefault="00ED11DE" w:rsidP="00ED11DE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 xml:space="preserve">Odbiór kamienia pod względem ilościowym i jakościowym może nastąpić albo w miejscu budowy, albo w miejscu składowania. Dokonuje się go przez obmiar pryzm (pryzma w zależności od frakcji zawiera około 60-70% kamienia </w:t>
      </w:r>
      <w:r>
        <w:rPr>
          <w:rFonts w:asciiTheme="minorHAnsi" w:hAnsiTheme="minorHAnsi" w:cstheme="minorHAnsi"/>
        </w:rPr>
        <w:br/>
      </w:r>
      <w:r w:rsidRPr="00ED11DE">
        <w:rPr>
          <w:rFonts w:asciiTheme="minorHAnsi" w:hAnsiTheme="minorHAnsi" w:cstheme="minorHAnsi"/>
        </w:rPr>
        <w:t>i 30-40% przestrzeni wolnych) m</w:t>
      </w:r>
      <w:r w:rsidRPr="00ED11DE">
        <w:rPr>
          <w:rFonts w:asciiTheme="minorHAnsi" w:hAnsiTheme="minorHAnsi" w:cstheme="minorHAnsi"/>
          <w:vertAlign w:val="superscript"/>
        </w:rPr>
        <w:t>3</w:t>
      </w:r>
      <w:r w:rsidRPr="00ED11DE">
        <w:rPr>
          <w:rFonts w:asciiTheme="minorHAnsi" w:hAnsiTheme="minorHAnsi" w:cstheme="minorHAnsi"/>
        </w:rPr>
        <w:t>, lub przez ważenie (w tonach).</w:t>
      </w:r>
    </w:p>
    <w:p w14:paraId="6789F19A" w14:textId="77777777" w:rsidR="00ED11DE" w:rsidRPr="00ED11DE" w:rsidRDefault="00ED11DE" w:rsidP="00ED11DE">
      <w:pPr>
        <w:pStyle w:val="Nagwek2"/>
        <w:spacing w:before="120" w:after="120" w:line="276" w:lineRule="auto"/>
        <w:rPr>
          <w:rFonts w:cstheme="minorHAnsi"/>
          <w:i/>
        </w:rPr>
      </w:pPr>
      <w:bookmarkStart w:id="10" w:name="_Toc278523350"/>
      <w:r w:rsidRPr="00ED11DE">
        <w:rPr>
          <w:rFonts w:cstheme="minorHAnsi"/>
        </w:rPr>
        <w:t>3. SPRZĘT</w:t>
      </w:r>
      <w:bookmarkEnd w:id="10"/>
    </w:p>
    <w:p w14:paraId="3206941C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11" w:name="_Toc278461960"/>
      <w:r w:rsidRPr="00ED11DE">
        <w:rPr>
          <w:rFonts w:cstheme="minorHAnsi"/>
        </w:rPr>
        <w:t>3.1. Ogólne wymagania dotyczące sprzętu</w:t>
      </w:r>
      <w:bookmarkEnd w:id="11"/>
    </w:p>
    <w:p w14:paraId="416CD6FB" w14:textId="77777777" w:rsidR="00ED11DE" w:rsidRPr="00ED11DE" w:rsidRDefault="00ED11DE" w:rsidP="00ED11DE">
      <w:pPr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Ogólne wymagania dotyczące sprzętu podano w SST D-M-00.00.00 Wymagania ogólne [1] pkt 3.</w:t>
      </w:r>
    </w:p>
    <w:p w14:paraId="078028BD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</w:rPr>
      </w:pPr>
      <w:bookmarkStart w:id="12" w:name="_Toc278523352"/>
      <w:r w:rsidRPr="00ED11DE">
        <w:rPr>
          <w:rFonts w:cstheme="minorHAnsi"/>
        </w:rPr>
        <w:t>3.2. Sprzęt do wykonania nasypu kamiennego</w:t>
      </w:r>
      <w:bookmarkEnd w:id="12"/>
    </w:p>
    <w:p w14:paraId="5AA78E0F" w14:textId="0B6A73A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</w:rPr>
      </w:pPr>
      <w:r w:rsidRPr="00ED11DE">
        <w:rPr>
          <w:rFonts w:cstheme="minorHAnsi"/>
          <w:b w:val="0"/>
        </w:rPr>
        <w:t>Stosowany sprzęt powinien być zgodny z warunkami Kontraktu oraz ofertą Wykonawcy. Używany sprzęt powinien być dostosowany do rodzaju wykonywanych prac</w:t>
      </w:r>
      <w:r w:rsidRPr="00ED11DE">
        <w:rPr>
          <w:rFonts w:cstheme="minorHAnsi"/>
        </w:rPr>
        <w:t xml:space="preserve">. </w:t>
      </w:r>
    </w:p>
    <w:p w14:paraId="6901C684" w14:textId="77777777" w:rsidR="00ED11DE" w:rsidRPr="00ED11DE" w:rsidRDefault="00ED11DE" w:rsidP="00ED11DE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  <w:b w:val="0"/>
          <w:bCs/>
        </w:rPr>
      </w:pPr>
      <w:bookmarkStart w:id="13" w:name="_Toc278461962"/>
      <w:r w:rsidRPr="00ED11DE">
        <w:rPr>
          <w:rFonts w:cstheme="minorHAnsi"/>
        </w:rPr>
        <w:t>4. TRANSPORT</w:t>
      </w:r>
      <w:bookmarkEnd w:id="13"/>
    </w:p>
    <w:p w14:paraId="04299378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14" w:name="_Toc278461963"/>
      <w:r w:rsidRPr="00ED11DE">
        <w:rPr>
          <w:rFonts w:cstheme="minorHAnsi"/>
        </w:rPr>
        <w:t>4.1.Ogólne wymagania dotyczące transportu</w:t>
      </w:r>
      <w:bookmarkEnd w:id="14"/>
    </w:p>
    <w:p w14:paraId="4A0B0A15" w14:textId="77777777" w:rsidR="00ED11DE" w:rsidRPr="00ED11DE" w:rsidRDefault="00ED11DE" w:rsidP="00ED11DE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Ogólne wymagania dotyczące transportu podano w SST D-M-00.00.00 Wymagania ogólne [1] pkt 4.</w:t>
      </w:r>
    </w:p>
    <w:p w14:paraId="248E96E8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15" w:name="_Toc278461964"/>
      <w:r w:rsidRPr="00ED11DE">
        <w:rPr>
          <w:rFonts w:cstheme="minorHAnsi"/>
        </w:rPr>
        <w:t>4.2. Transport materiałów</w:t>
      </w:r>
      <w:bookmarkEnd w:id="15"/>
    </w:p>
    <w:p w14:paraId="0D3FFC81" w14:textId="77777777" w:rsidR="00ED11DE" w:rsidRPr="00ED11DE" w:rsidRDefault="00ED11DE" w:rsidP="00ED11DE">
      <w:pPr>
        <w:pStyle w:val="Lista-kontynuacja2"/>
        <w:spacing w:before="120"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ED11DE">
        <w:rPr>
          <w:rFonts w:asciiTheme="minorHAnsi" w:hAnsiTheme="minorHAnsi" w:cstheme="minorHAnsi"/>
          <w:sz w:val="20"/>
          <w:szCs w:val="20"/>
        </w:rPr>
        <w:t>Przewiduje się transport materiału następującymi środkami transportu:</w:t>
      </w:r>
    </w:p>
    <w:p w14:paraId="6AC69982" w14:textId="77777777" w:rsidR="00ED11DE" w:rsidRPr="00ED11DE" w:rsidRDefault="00ED11DE" w:rsidP="00ED11DE">
      <w:pPr>
        <w:numPr>
          <w:ilvl w:val="0"/>
          <w:numId w:val="35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samochodami samowyładowczymi,</w:t>
      </w:r>
    </w:p>
    <w:p w14:paraId="5FFBF65A" w14:textId="77777777" w:rsidR="00ED11DE" w:rsidRPr="00ED11DE" w:rsidRDefault="00ED11DE" w:rsidP="00ED11DE">
      <w:pPr>
        <w:numPr>
          <w:ilvl w:val="0"/>
          <w:numId w:val="35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samochodami skrzyniowymi,</w:t>
      </w:r>
    </w:p>
    <w:p w14:paraId="6026CAB6" w14:textId="77777777" w:rsidR="00ED11DE" w:rsidRPr="00ED11DE" w:rsidRDefault="00ED11DE" w:rsidP="00ED11DE">
      <w:pPr>
        <w:numPr>
          <w:ilvl w:val="0"/>
          <w:numId w:val="35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innym sprzętem niezbędnym do poprawnego wykonania prac.</w:t>
      </w:r>
    </w:p>
    <w:p w14:paraId="4B3B9729" w14:textId="77777777" w:rsidR="00ED11DE" w:rsidRPr="00ED11DE" w:rsidRDefault="00ED11DE" w:rsidP="00ED11DE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</w:rPr>
      </w:pPr>
      <w:bookmarkStart w:id="16" w:name="_Toc278523354"/>
      <w:r w:rsidRPr="00ED11DE">
        <w:rPr>
          <w:rFonts w:cstheme="minorHAnsi"/>
        </w:rPr>
        <w:t>5. WYKONANIE PRAC</w:t>
      </w:r>
      <w:bookmarkEnd w:id="16"/>
    </w:p>
    <w:p w14:paraId="4822E114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17" w:name="_Toc278461966"/>
      <w:bookmarkStart w:id="18" w:name="_Toc278523355"/>
      <w:r w:rsidRPr="00ED11DE">
        <w:rPr>
          <w:rFonts w:cstheme="minorHAnsi"/>
        </w:rPr>
        <w:t xml:space="preserve">5.1. Ogólne zasady wykonania </w:t>
      </w:r>
      <w:bookmarkEnd w:id="17"/>
      <w:r w:rsidRPr="00ED11DE">
        <w:rPr>
          <w:rFonts w:cstheme="minorHAnsi"/>
        </w:rPr>
        <w:t>robót</w:t>
      </w:r>
    </w:p>
    <w:p w14:paraId="7D21864B" w14:textId="77777777" w:rsidR="00ED11DE" w:rsidRPr="00ED11DE" w:rsidRDefault="00ED11DE" w:rsidP="00ED11DE">
      <w:pPr>
        <w:pStyle w:val="Standardowytekst1"/>
        <w:tabs>
          <w:tab w:val="right" w:pos="9072"/>
        </w:tabs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Ogólne zasady wykonania robót podano w SST D-M-00.00.00 Wymagania ogólne [1] pkt 5.</w:t>
      </w:r>
      <w:bookmarkEnd w:id="18"/>
    </w:p>
    <w:p w14:paraId="0A29D6C6" w14:textId="77777777" w:rsidR="00ED11DE" w:rsidRPr="00ED11DE" w:rsidRDefault="00ED11DE" w:rsidP="00ED11DE">
      <w:pPr>
        <w:pStyle w:val="Standardowytekst1"/>
        <w:tabs>
          <w:tab w:val="right" w:pos="9072"/>
        </w:tabs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Wykonawca w ramach ceny Kontraktowej pozyska materiał do wykonania prac. Materiał ten powinien spełniać wymagania określone w pkt. 2. Wykonawca przed dowiezieniem materiału na miejsce wbudowania, przedstawi Przedstawicielowi Zamawiającego wyniki badania materiału, potwierdzające przydatność do wykonania prac.</w:t>
      </w:r>
    </w:p>
    <w:p w14:paraId="02211039" w14:textId="77777777" w:rsidR="00ED11DE" w:rsidRPr="00ED11DE" w:rsidRDefault="00ED11DE" w:rsidP="00ED11DE">
      <w:pPr>
        <w:pStyle w:val="Nagwek2"/>
        <w:spacing w:before="120" w:after="120" w:line="276" w:lineRule="auto"/>
        <w:rPr>
          <w:rFonts w:cstheme="minorHAnsi"/>
          <w:i/>
          <w:iCs/>
        </w:rPr>
      </w:pPr>
      <w:r w:rsidRPr="00ED11DE">
        <w:rPr>
          <w:rFonts w:cstheme="minorHAnsi"/>
        </w:rPr>
        <w:t xml:space="preserve">5.2. Oznakowanie danego odcinka robót </w:t>
      </w:r>
    </w:p>
    <w:p w14:paraId="49780737" w14:textId="77777777" w:rsidR="00ED11DE" w:rsidRPr="00ED11DE" w:rsidRDefault="00ED11DE" w:rsidP="00ED11DE">
      <w:pPr>
        <w:pStyle w:val="Tekstpodstawowywcity"/>
        <w:ind w:left="0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 xml:space="preserve">Wymagania dla oznakowania prac  podano w ST D-M-00.00.00. Wymagania ogólne [1] pkt 1.5.3. </w:t>
      </w:r>
    </w:p>
    <w:p w14:paraId="1CB99EC7" w14:textId="77777777" w:rsidR="00ED11DE" w:rsidRPr="00ED11DE" w:rsidRDefault="00ED11DE" w:rsidP="00ED11DE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</w:rPr>
      </w:pPr>
      <w:bookmarkStart w:id="19" w:name="_Toc278523356"/>
      <w:r w:rsidRPr="00ED11DE">
        <w:rPr>
          <w:rFonts w:cstheme="minorHAnsi"/>
        </w:rPr>
        <w:t>6. KONTROLA JAKOŚCI PRAC</w:t>
      </w:r>
      <w:bookmarkEnd w:id="19"/>
    </w:p>
    <w:p w14:paraId="180D01F3" w14:textId="77777777" w:rsidR="00ED11DE" w:rsidRPr="00ED11DE" w:rsidRDefault="00ED11DE" w:rsidP="00ED11DE">
      <w:pPr>
        <w:keepNext/>
        <w:numPr>
          <w:ilvl w:val="12"/>
          <w:numId w:val="0"/>
        </w:numPr>
        <w:spacing w:before="120" w:after="120" w:line="276" w:lineRule="auto"/>
        <w:outlineLvl w:val="1"/>
        <w:rPr>
          <w:rFonts w:asciiTheme="minorHAnsi" w:hAnsiTheme="minorHAnsi" w:cstheme="minorHAnsi"/>
          <w:b/>
          <w:bCs/>
        </w:rPr>
      </w:pPr>
      <w:bookmarkStart w:id="20" w:name="_Toc278461971"/>
      <w:r w:rsidRPr="00ED11DE">
        <w:rPr>
          <w:rFonts w:asciiTheme="minorHAnsi" w:hAnsiTheme="minorHAnsi" w:cstheme="minorHAnsi"/>
          <w:b/>
          <w:bCs/>
        </w:rPr>
        <w:t xml:space="preserve">6.1. Ogólne zasady kontroli jakości </w:t>
      </w:r>
      <w:bookmarkEnd w:id="20"/>
      <w:r w:rsidRPr="00ED11DE">
        <w:rPr>
          <w:rFonts w:asciiTheme="minorHAnsi" w:hAnsiTheme="minorHAnsi" w:cstheme="minorHAnsi"/>
          <w:b/>
          <w:bCs/>
        </w:rPr>
        <w:t>robót</w:t>
      </w:r>
    </w:p>
    <w:p w14:paraId="46108FF5" w14:textId="77777777" w:rsidR="00ED11DE" w:rsidRPr="00ED11DE" w:rsidRDefault="00ED11DE" w:rsidP="00ED11DE">
      <w:pPr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Ogólne zasady kontroli jakości robót podano w SST D-M-00.00.00 Wymagania ogólne [1] pkt 6.</w:t>
      </w:r>
    </w:p>
    <w:p w14:paraId="046F8B31" w14:textId="77777777" w:rsidR="00ED11DE" w:rsidRPr="00ED11DE" w:rsidRDefault="00ED11DE" w:rsidP="00ED11DE">
      <w:pPr>
        <w:keepNext/>
        <w:numPr>
          <w:ilvl w:val="12"/>
          <w:numId w:val="0"/>
        </w:numPr>
        <w:spacing w:before="120" w:after="120" w:line="276" w:lineRule="auto"/>
        <w:outlineLvl w:val="1"/>
        <w:rPr>
          <w:rFonts w:asciiTheme="minorHAnsi" w:hAnsiTheme="minorHAnsi" w:cstheme="minorHAnsi"/>
          <w:b/>
          <w:bCs/>
        </w:rPr>
      </w:pPr>
      <w:bookmarkStart w:id="21" w:name="_Toc278461972"/>
      <w:r w:rsidRPr="00ED11DE">
        <w:rPr>
          <w:rFonts w:asciiTheme="minorHAnsi" w:hAnsiTheme="minorHAnsi" w:cstheme="minorHAnsi"/>
          <w:b/>
          <w:bCs/>
        </w:rPr>
        <w:t xml:space="preserve">6.2. Kontrola jakości wykonanych </w:t>
      </w:r>
      <w:bookmarkEnd w:id="21"/>
      <w:r w:rsidRPr="00ED11DE">
        <w:rPr>
          <w:rFonts w:asciiTheme="minorHAnsi" w:hAnsiTheme="minorHAnsi" w:cstheme="minorHAnsi"/>
          <w:b/>
          <w:bCs/>
        </w:rPr>
        <w:t>robót</w:t>
      </w:r>
    </w:p>
    <w:p w14:paraId="463B7A77" w14:textId="77777777" w:rsidR="00ED11DE" w:rsidRPr="00ED11DE" w:rsidRDefault="00ED11DE" w:rsidP="00ED11DE">
      <w:pPr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Kontroli jakości podlegają:</w:t>
      </w:r>
    </w:p>
    <w:p w14:paraId="72D612C0" w14:textId="77777777" w:rsidR="00ED11DE" w:rsidRPr="00ED11DE" w:rsidRDefault="00ED11DE" w:rsidP="00ED11DE">
      <w:pPr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lastRenderedPageBreak/>
        <w:t>- zgodność wykonania narzutu kamiennego z posiadaną Dokumentacją Techniczną lub ustaleniami Przedstawiciela Zamawiającego,</w:t>
      </w:r>
    </w:p>
    <w:p w14:paraId="199A42B1" w14:textId="77777777" w:rsidR="00ED11DE" w:rsidRPr="00ED11DE" w:rsidRDefault="00ED11DE" w:rsidP="00ED11DE">
      <w:pPr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- jakość materiału kamiennego,</w:t>
      </w:r>
    </w:p>
    <w:p w14:paraId="4DFD4C5A" w14:textId="77777777" w:rsidR="00ED11DE" w:rsidRPr="00ED11DE" w:rsidRDefault="00ED11DE" w:rsidP="00ED11DE">
      <w:pPr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- kształt i wymiary pryzmy narzutu,</w:t>
      </w:r>
    </w:p>
    <w:p w14:paraId="0967008D" w14:textId="77777777" w:rsidR="00ED11DE" w:rsidRPr="00ED11DE" w:rsidRDefault="00ED11DE" w:rsidP="00ED11DE">
      <w:pPr>
        <w:pStyle w:val="Tekstpodstawowywcity"/>
        <w:spacing w:before="120" w:line="276" w:lineRule="auto"/>
        <w:ind w:left="0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- rzędną spodu lub góry narzutu,</w:t>
      </w:r>
    </w:p>
    <w:p w14:paraId="4F8CCB42" w14:textId="6A574BB3" w:rsidR="00ED11DE" w:rsidRPr="00ED11DE" w:rsidRDefault="00ED11DE" w:rsidP="00ED11DE">
      <w:pPr>
        <w:pStyle w:val="Tekstpodstawowywcity"/>
        <w:spacing w:before="120" w:line="276" w:lineRule="auto"/>
        <w:ind w:left="0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 xml:space="preserve">Jeżeli podczas kontroli </w:t>
      </w:r>
      <w:r>
        <w:rPr>
          <w:rFonts w:asciiTheme="minorHAnsi" w:hAnsiTheme="minorHAnsi" w:cstheme="minorHAnsi"/>
        </w:rPr>
        <w:t>p</w:t>
      </w:r>
      <w:r w:rsidRPr="00ED11DE">
        <w:rPr>
          <w:rFonts w:asciiTheme="minorHAnsi" w:hAnsiTheme="minorHAnsi" w:cstheme="minorHAnsi"/>
        </w:rPr>
        <w:t>rzedstawiciel Zamawiającego stwierdzi jakąkolwiek niezgodność wykonania prac odmówi przyjęcia wykonanych prac. Wykonawca musi poprawić niezgodne z wymaganiami prace na własny koszt i ponownie zgłosić do badania.</w:t>
      </w:r>
    </w:p>
    <w:p w14:paraId="675E78FE" w14:textId="77777777" w:rsidR="00ED11DE" w:rsidRPr="00ED11DE" w:rsidRDefault="00ED11DE" w:rsidP="00ED11DE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  <w:b w:val="0"/>
          <w:bCs/>
        </w:rPr>
      </w:pPr>
      <w:r w:rsidRPr="00ED11DE">
        <w:rPr>
          <w:rFonts w:cstheme="minorHAnsi"/>
        </w:rPr>
        <w:t>7. OBMIAR ROBÓT</w:t>
      </w:r>
    </w:p>
    <w:p w14:paraId="2E549632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r w:rsidRPr="00ED11DE">
        <w:rPr>
          <w:rFonts w:cstheme="minorHAnsi"/>
        </w:rPr>
        <w:t>7.1. Ogólne zasady obmiaru robót</w:t>
      </w:r>
    </w:p>
    <w:p w14:paraId="7E12C18B" w14:textId="77777777" w:rsidR="00ED11DE" w:rsidRPr="00ED11DE" w:rsidRDefault="00ED11DE" w:rsidP="00ED11DE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Ogólne zasady obmiaru robót podano w SST D-M-00.00.00 Wymagania ogólne [1] pkt 7.</w:t>
      </w:r>
    </w:p>
    <w:p w14:paraId="3097F958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r w:rsidRPr="00ED11DE">
        <w:rPr>
          <w:rFonts w:cstheme="minorHAnsi"/>
        </w:rPr>
        <w:t xml:space="preserve">7.2. Jednostka obmiarowa </w:t>
      </w:r>
    </w:p>
    <w:p w14:paraId="51456495" w14:textId="45780DBF" w:rsidR="00ED11DE" w:rsidRPr="00ED11DE" w:rsidRDefault="00ED11DE" w:rsidP="00ED11DE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Jednostką obmiaru jest metr sześcienny (</w:t>
      </w:r>
      <w:r w:rsidRPr="00ED11DE">
        <w:rPr>
          <w:rFonts w:asciiTheme="minorHAnsi" w:hAnsiTheme="minorHAnsi" w:cstheme="minorHAnsi"/>
          <w:b/>
        </w:rPr>
        <w:t>m</w:t>
      </w:r>
      <w:r w:rsidRPr="00ED11DE">
        <w:rPr>
          <w:rFonts w:asciiTheme="minorHAnsi" w:hAnsiTheme="minorHAnsi" w:cstheme="minorHAnsi"/>
          <w:b/>
          <w:vertAlign w:val="superscript"/>
        </w:rPr>
        <w:t>3</w:t>
      </w:r>
      <w:r w:rsidRPr="00ED11DE">
        <w:rPr>
          <w:rFonts w:asciiTheme="minorHAnsi" w:hAnsiTheme="minorHAnsi" w:cstheme="minorHAnsi"/>
        </w:rPr>
        <w:t xml:space="preserve">) wykonanego narzutu, z wszelkimi czynnościami mającymi na celu pozyskanie materiału, jego transport i składowanie, przygotowanie podłoża i wykonanie uzupełnienia zgodnie </w:t>
      </w:r>
      <w:r>
        <w:rPr>
          <w:rFonts w:asciiTheme="minorHAnsi" w:hAnsiTheme="minorHAnsi" w:cstheme="minorHAnsi"/>
        </w:rPr>
        <w:br/>
      </w:r>
      <w:r w:rsidRPr="00ED11DE">
        <w:rPr>
          <w:rFonts w:asciiTheme="minorHAnsi" w:hAnsiTheme="minorHAnsi" w:cstheme="minorHAnsi"/>
        </w:rPr>
        <w:t>z zasadami określonymi w niniejszej ST</w:t>
      </w:r>
      <w:r>
        <w:rPr>
          <w:rFonts w:asciiTheme="minorHAnsi" w:hAnsiTheme="minorHAnsi" w:cstheme="minorHAnsi"/>
        </w:rPr>
        <w:t>.</w:t>
      </w:r>
    </w:p>
    <w:p w14:paraId="6E308A22" w14:textId="77777777" w:rsidR="00ED11DE" w:rsidRPr="00ED11DE" w:rsidRDefault="00ED11DE" w:rsidP="00ED11DE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</w:rPr>
      </w:pPr>
      <w:bookmarkStart w:id="22" w:name="_Toc278523362"/>
      <w:r w:rsidRPr="00ED11DE">
        <w:rPr>
          <w:rFonts w:cstheme="minorHAnsi"/>
        </w:rPr>
        <w:t>8. ODBIÓR PRAC</w:t>
      </w:r>
      <w:bookmarkEnd w:id="22"/>
    </w:p>
    <w:p w14:paraId="57302AAB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</w:rPr>
      </w:pPr>
      <w:bookmarkStart w:id="23" w:name="_Toc278523363"/>
      <w:r w:rsidRPr="00ED11DE">
        <w:rPr>
          <w:rFonts w:cstheme="minorHAnsi"/>
        </w:rPr>
        <w:t>8.1. Ogólne zasady odbioru prac</w:t>
      </w:r>
      <w:bookmarkEnd w:id="23"/>
    </w:p>
    <w:p w14:paraId="6DE1C6BF" w14:textId="77777777" w:rsidR="00ED11DE" w:rsidRPr="00ED11DE" w:rsidRDefault="00ED11DE" w:rsidP="00ED11DE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Ogólne zasady odbioru prac podano w ST D-M-00.00.00 Wymagania ogólne [1] pkt 8.</w:t>
      </w:r>
    </w:p>
    <w:p w14:paraId="09928B6B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</w:rPr>
      </w:pPr>
      <w:bookmarkStart w:id="24" w:name="_Toc278523364"/>
      <w:r w:rsidRPr="00ED11DE">
        <w:rPr>
          <w:rFonts w:cstheme="minorHAnsi"/>
        </w:rPr>
        <w:t>8.2. Sposób odbioru prac</w:t>
      </w:r>
      <w:bookmarkEnd w:id="24"/>
    </w:p>
    <w:p w14:paraId="55FB4F6D" w14:textId="29B436B9" w:rsidR="00ED11DE" w:rsidRPr="00ED11DE" w:rsidRDefault="00ED11DE" w:rsidP="00ED11DE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 xml:space="preserve">Prace uznaje się za wykonane, jeżeli wszystkie kontrole przeprowadzone przy odbiorze okazały się zgodne </w:t>
      </w:r>
      <w:r>
        <w:rPr>
          <w:rFonts w:asciiTheme="minorHAnsi" w:hAnsiTheme="minorHAnsi" w:cstheme="minorHAnsi"/>
        </w:rPr>
        <w:br/>
      </w:r>
      <w:r w:rsidRPr="00ED11DE">
        <w:rPr>
          <w:rFonts w:asciiTheme="minorHAnsi" w:hAnsiTheme="minorHAnsi" w:cstheme="minorHAnsi"/>
        </w:rPr>
        <w:t>z wymogami pkt. 5 i 6.</w:t>
      </w:r>
    </w:p>
    <w:p w14:paraId="2522F459" w14:textId="51A052E6" w:rsidR="00ED11DE" w:rsidRPr="00ED11DE" w:rsidRDefault="00ED11DE" w:rsidP="00ED11DE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 xml:space="preserve">Pomiary w czasie odbioru powinny być przeprowadzone przez Wykonawcę w obecności </w:t>
      </w:r>
      <w:r>
        <w:rPr>
          <w:rFonts w:asciiTheme="minorHAnsi" w:hAnsiTheme="minorHAnsi" w:cstheme="minorHAnsi"/>
        </w:rPr>
        <w:t>p</w:t>
      </w:r>
      <w:r w:rsidRPr="00ED11DE">
        <w:rPr>
          <w:rFonts w:asciiTheme="minorHAnsi" w:hAnsiTheme="minorHAnsi" w:cstheme="minorHAnsi"/>
        </w:rPr>
        <w:t xml:space="preserve">rzedstawiciela Zamawiającego na zasadach określonych w ST D-M-00.00.00 Wymagania ogólne [1] pkt. 8 dla prac zanikających </w:t>
      </w:r>
      <w:r>
        <w:rPr>
          <w:rFonts w:asciiTheme="minorHAnsi" w:hAnsiTheme="minorHAnsi" w:cstheme="minorHAnsi"/>
        </w:rPr>
        <w:br/>
      </w:r>
      <w:r w:rsidRPr="00ED11DE">
        <w:rPr>
          <w:rFonts w:asciiTheme="minorHAnsi" w:hAnsiTheme="minorHAnsi" w:cstheme="minorHAnsi"/>
        </w:rPr>
        <w:t>i ulegających zakryciu.</w:t>
      </w:r>
    </w:p>
    <w:p w14:paraId="4904B573" w14:textId="77777777" w:rsidR="00ED11DE" w:rsidRPr="00ED11DE" w:rsidRDefault="00ED11DE" w:rsidP="00ED11DE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</w:rPr>
      </w:pPr>
      <w:bookmarkStart w:id="25" w:name="_Toc278523365"/>
      <w:r w:rsidRPr="00ED11DE">
        <w:rPr>
          <w:rFonts w:cstheme="minorHAnsi"/>
        </w:rPr>
        <w:t>9. PODSTAWA PŁATNOŚCI</w:t>
      </w:r>
      <w:bookmarkEnd w:id="25"/>
    </w:p>
    <w:p w14:paraId="54B1E2AE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</w:rPr>
      </w:pPr>
      <w:bookmarkStart w:id="26" w:name="_Toc278523366"/>
      <w:r w:rsidRPr="00ED11DE">
        <w:rPr>
          <w:rFonts w:cstheme="minorHAnsi"/>
        </w:rPr>
        <w:t>9.1. Ogólne ustalenia dotyczące podstawy płatności</w:t>
      </w:r>
      <w:bookmarkEnd w:id="26"/>
    </w:p>
    <w:p w14:paraId="47520840" w14:textId="77777777" w:rsidR="00ED11DE" w:rsidRPr="00ED11DE" w:rsidRDefault="00ED11DE" w:rsidP="00ED11DE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Ogólne ustalenia dotyczące podstawy płatności podano w ST D-M-00.00.00 Wymagania ogólne[1] pkt 9.</w:t>
      </w:r>
    </w:p>
    <w:p w14:paraId="31134D54" w14:textId="77777777" w:rsidR="00ED11DE" w:rsidRPr="00ED11DE" w:rsidRDefault="00ED11DE" w:rsidP="00ED11DE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Płaci się za jednostkę obmiarowa wg pkt. 7.2. wykonanego narzutu kamiennego, na podstawie obmiaru i oceny jakości prac w oparciu o wyniki pomiarów i badań laboratoryjnych, o ile były wymagane.</w:t>
      </w:r>
    </w:p>
    <w:p w14:paraId="4C8A4D55" w14:textId="77777777" w:rsidR="00ED11DE" w:rsidRPr="00ED11DE" w:rsidRDefault="00ED11DE" w:rsidP="00ED11DE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</w:rPr>
      </w:pPr>
      <w:bookmarkStart w:id="27" w:name="_Toc278523367"/>
      <w:r w:rsidRPr="00ED11DE">
        <w:rPr>
          <w:rFonts w:cstheme="minorHAnsi"/>
        </w:rPr>
        <w:t>9.2. Cena jednostki obmiarowej</w:t>
      </w:r>
      <w:bookmarkEnd w:id="27"/>
    </w:p>
    <w:p w14:paraId="70C58A18" w14:textId="77777777" w:rsidR="00ED11DE" w:rsidRPr="00ED11DE" w:rsidRDefault="00ED11DE" w:rsidP="00ED11DE">
      <w:pPr>
        <w:spacing w:before="120" w:after="120" w:line="276" w:lineRule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Wykonawca powinien wliczyć w cenę uzupełnienia</w:t>
      </w:r>
      <w:r w:rsidRPr="00ED11DE">
        <w:rPr>
          <w:rFonts w:asciiTheme="minorHAnsi" w:hAnsiTheme="minorHAnsi" w:cstheme="minorHAnsi"/>
          <w:bCs/>
        </w:rPr>
        <w:t xml:space="preserve"> </w:t>
      </w:r>
      <w:r w:rsidRPr="00ED11DE">
        <w:rPr>
          <w:rFonts w:asciiTheme="minorHAnsi" w:hAnsiTheme="minorHAnsi" w:cstheme="minorHAnsi"/>
          <w:b/>
          <w:bCs/>
        </w:rPr>
        <w:t>1 m</w:t>
      </w:r>
      <w:r w:rsidRPr="00ED11DE">
        <w:rPr>
          <w:rFonts w:asciiTheme="minorHAnsi" w:hAnsiTheme="minorHAnsi" w:cstheme="minorHAnsi"/>
          <w:b/>
          <w:bCs/>
          <w:vertAlign w:val="superscript"/>
        </w:rPr>
        <w:t>3</w:t>
      </w:r>
      <w:r w:rsidRPr="00ED11DE">
        <w:rPr>
          <w:rFonts w:asciiTheme="minorHAnsi" w:hAnsiTheme="minorHAnsi" w:cstheme="minorHAnsi"/>
        </w:rPr>
        <w:t xml:space="preserve"> narzutem kamiennym wszelkie czynności związane z prawidłowym wykonaniem prac określonych niniejszą ST, co do zasady będą to:</w:t>
      </w:r>
    </w:p>
    <w:p w14:paraId="654FC137" w14:textId="77777777" w:rsidR="00ED11DE" w:rsidRPr="00ED11DE" w:rsidRDefault="00ED11DE" w:rsidP="00ED11DE">
      <w:pPr>
        <w:numPr>
          <w:ilvl w:val="0"/>
          <w:numId w:val="28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ED11DE">
        <w:rPr>
          <w:rFonts w:asciiTheme="minorHAnsi" w:hAnsiTheme="minorHAnsi" w:cstheme="minorHAnsi"/>
        </w:rPr>
        <w:t>wykonanie prac pomiarowych i prac przygotowawczych,</w:t>
      </w:r>
    </w:p>
    <w:p w14:paraId="3FB4369E" w14:textId="77777777" w:rsidR="00ED11DE" w:rsidRPr="00ED11DE" w:rsidRDefault="00ED11DE" w:rsidP="00ED11DE">
      <w:pPr>
        <w:numPr>
          <w:ilvl w:val="0"/>
          <w:numId w:val="30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ED11DE">
        <w:rPr>
          <w:rFonts w:asciiTheme="minorHAnsi" w:hAnsiTheme="minorHAnsi" w:cstheme="minorHAnsi"/>
        </w:rPr>
        <w:t>oznakowanie prac,</w:t>
      </w:r>
    </w:p>
    <w:p w14:paraId="7FA02ADB" w14:textId="77777777" w:rsidR="00ED11DE" w:rsidRPr="00ED11DE" w:rsidRDefault="00ED11DE" w:rsidP="00ED11DE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ED11DE">
        <w:rPr>
          <w:rFonts w:asciiTheme="minorHAnsi" w:hAnsiTheme="minorHAnsi" w:cstheme="minorHAnsi"/>
        </w:rPr>
        <w:t>koszt pracy sprzętu oraz koszty dowozu i odwozu sprzętu na/z terenu prac,</w:t>
      </w:r>
    </w:p>
    <w:p w14:paraId="3E98FD22" w14:textId="77777777" w:rsidR="00ED11DE" w:rsidRPr="00ED11DE" w:rsidRDefault="00ED11DE" w:rsidP="00ED11DE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ED11DE">
        <w:rPr>
          <w:rFonts w:asciiTheme="minorHAnsi" w:hAnsiTheme="minorHAnsi" w:cstheme="minorHAnsi"/>
        </w:rPr>
        <w:t>koszt użytych materiałów wraz z kosztami ich zakupu, transportu i magazynowania,</w:t>
      </w:r>
    </w:p>
    <w:p w14:paraId="0E33D8A5" w14:textId="77777777" w:rsidR="00ED11DE" w:rsidRPr="00ED11DE" w:rsidRDefault="00ED11DE" w:rsidP="00ED11DE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ED11DE">
        <w:rPr>
          <w:rFonts w:asciiTheme="minorHAnsi" w:hAnsiTheme="minorHAnsi" w:cstheme="minorHAnsi"/>
        </w:rPr>
        <w:t>przygotowanie podłoża,</w:t>
      </w:r>
    </w:p>
    <w:p w14:paraId="760AFCDE" w14:textId="77777777" w:rsidR="00ED11DE" w:rsidRPr="00ED11DE" w:rsidRDefault="00ED11DE" w:rsidP="00ED11DE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ED11DE">
        <w:rPr>
          <w:rFonts w:asciiTheme="minorHAnsi" w:hAnsiTheme="minorHAnsi" w:cstheme="minorHAnsi"/>
        </w:rPr>
        <w:lastRenderedPageBreak/>
        <w:t>przeprowadzenie ewentualnych prac rozbiórkowych wraz z wywozem urobku i/lub zużytych materiałów poza teren prac i zagospodarowanie bądź zutylizowanie zgodnie z obecnie obowiązującymi przepisami,</w:t>
      </w:r>
    </w:p>
    <w:p w14:paraId="1E93C311" w14:textId="683EBCEA" w:rsidR="00ED11DE" w:rsidRPr="00ED11DE" w:rsidRDefault="00ED11DE" w:rsidP="00ED11DE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ED11DE">
        <w:rPr>
          <w:rFonts w:asciiTheme="minorHAnsi" w:hAnsiTheme="minorHAnsi" w:cstheme="minorHAnsi"/>
        </w:rPr>
        <w:t xml:space="preserve">wykonanie prac zgodnie z technologią prac opisaną w pkt. 5 niniejszej SST oraz zgodnie z przepisami, normami </w:t>
      </w:r>
      <w:r w:rsidR="007B6625">
        <w:rPr>
          <w:rFonts w:asciiTheme="minorHAnsi" w:hAnsiTheme="minorHAnsi" w:cstheme="minorHAnsi"/>
        </w:rPr>
        <w:br/>
      </w:r>
      <w:r w:rsidRPr="00ED11DE">
        <w:rPr>
          <w:rFonts w:asciiTheme="minorHAnsi" w:hAnsiTheme="minorHAnsi" w:cstheme="minorHAnsi"/>
        </w:rPr>
        <w:t>i sztuką budowlaną,</w:t>
      </w:r>
    </w:p>
    <w:p w14:paraId="25AF24BD" w14:textId="77777777" w:rsidR="00ED11DE" w:rsidRPr="00ED11DE" w:rsidRDefault="00ED11DE" w:rsidP="00ED11DE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ED11DE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4B213E07" w14:textId="77777777" w:rsidR="00ED11DE" w:rsidRPr="00ED11DE" w:rsidRDefault="00ED11DE" w:rsidP="00ED11DE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uporządkowanie terenu prac,</w:t>
      </w:r>
    </w:p>
    <w:p w14:paraId="55556470" w14:textId="77777777" w:rsidR="00ED11DE" w:rsidRPr="00ED11DE" w:rsidRDefault="00ED11DE" w:rsidP="00ED11DE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 xml:space="preserve">wszystkie koszty związane z kosztami pośrednimi, zyskiem kalkulacyjnym i podatkami obligatoryjnymi. </w:t>
      </w:r>
      <w:bookmarkStart w:id="28" w:name="_Toc278523368"/>
    </w:p>
    <w:p w14:paraId="47FB0AFB" w14:textId="77777777" w:rsidR="00ED11DE" w:rsidRPr="00ED11DE" w:rsidRDefault="00ED11DE" w:rsidP="00ED11DE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</w:rPr>
      </w:pPr>
      <w:r w:rsidRPr="00ED11DE">
        <w:rPr>
          <w:rFonts w:cstheme="minorHAnsi"/>
        </w:rPr>
        <w:t>10. PRZEPISY ZWIĄZANE</w:t>
      </w:r>
      <w:bookmarkEnd w:id="28"/>
    </w:p>
    <w:p w14:paraId="04E1276A" w14:textId="77777777" w:rsidR="00ED11DE" w:rsidRPr="00ED11DE" w:rsidRDefault="00ED11DE" w:rsidP="00ED11DE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ED11DE">
        <w:rPr>
          <w:rFonts w:asciiTheme="minorHAnsi" w:hAnsiTheme="minorHAnsi" w:cstheme="minorHAnsi"/>
          <w:b/>
        </w:rPr>
        <w:t>10.1. Szczegółowe specyfikacje techniczne (SST)</w:t>
      </w:r>
    </w:p>
    <w:p w14:paraId="4CB1B405" w14:textId="77777777" w:rsidR="00ED11DE" w:rsidRPr="00ED11DE" w:rsidRDefault="00ED11DE" w:rsidP="00ED11DE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SST D-M-00.00.00 Wymagania ogólne</w:t>
      </w:r>
    </w:p>
    <w:p w14:paraId="58540B97" w14:textId="77777777" w:rsidR="00ED11DE" w:rsidRPr="00ED11DE" w:rsidRDefault="00ED11DE" w:rsidP="00ED11DE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</w:rPr>
      </w:pPr>
      <w:r w:rsidRPr="00ED11DE">
        <w:rPr>
          <w:rFonts w:cstheme="minorHAnsi"/>
        </w:rPr>
        <w:t>10.2.  Normy</w:t>
      </w:r>
    </w:p>
    <w:p w14:paraId="2B4D8FA6" w14:textId="77777777" w:rsidR="00ED11DE" w:rsidRPr="00ED11DE" w:rsidRDefault="00ED11DE" w:rsidP="00ED11DE">
      <w:pPr>
        <w:pStyle w:val="Akapitzlist"/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ind w:left="714" w:hanging="357"/>
        <w:contextualSpacing w:val="0"/>
        <w:textAlignment w:val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PN-EN 1097-6:2013 Oznaczanie gęstości ziaren i nasiąkliwości</w:t>
      </w:r>
    </w:p>
    <w:p w14:paraId="598CAD71" w14:textId="0BB45714" w:rsidR="00ED11DE" w:rsidRPr="00ED11DE" w:rsidRDefault="00ED11DE" w:rsidP="00ED11DE">
      <w:pPr>
        <w:pStyle w:val="Akapitzlist"/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ind w:left="714" w:hanging="357"/>
        <w:contextualSpacing w:val="0"/>
        <w:textAlignment w:val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PN-EN 1367-1:2007 Badanie właściwości cieplnych i odporności kruszyw na</w:t>
      </w:r>
      <w:r w:rsidR="007B6625">
        <w:rPr>
          <w:rFonts w:asciiTheme="minorHAnsi" w:hAnsiTheme="minorHAnsi" w:cstheme="minorHAnsi"/>
        </w:rPr>
        <w:t xml:space="preserve"> </w:t>
      </w:r>
      <w:r w:rsidRPr="00ED11DE">
        <w:rPr>
          <w:rFonts w:asciiTheme="minorHAnsi" w:hAnsiTheme="minorHAnsi" w:cstheme="minorHAnsi"/>
        </w:rPr>
        <w:t>działanie czynników atmosferycznych. Część 1: Mrozoodporność.</w:t>
      </w:r>
    </w:p>
    <w:p w14:paraId="04E6B59A" w14:textId="77777777" w:rsidR="00ED11DE" w:rsidRPr="00ED11DE" w:rsidRDefault="00ED11DE" w:rsidP="00ED11DE">
      <w:pPr>
        <w:pStyle w:val="Akapitzlist"/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ind w:left="714" w:hanging="357"/>
        <w:contextualSpacing w:val="0"/>
        <w:textAlignment w:val="auto"/>
        <w:rPr>
          <w:rFonts w:asciiTheme="minorHAnsi" w:hAnsiTheme="minorHAnsi" w:cstheme="minorHAnsi"/>
        </w:rPr>
      </w:pPr>
      <w:r w:rsidRPr="00ED11DE">
        <w:rPr>
          <w:rFonts w:asciiTheme="minorHAnsi" w:hAnsiTheme="minorHAnsi" w:cstheme="minorHAnsi"/>
        </w:rPr>
        <w:t>PN-EN 1367-3: 2002 Badanie właściwości cieplnych i odporności kruszyw na działanie czynników atmosferycznych. Część 3: Badanie bazaltowej zgorzeli słonecznej metodą gotowania.</w:t>
      </w:r>
    </w:p>
    <w:p w14:paraId="140AB1C9" w14:textId="77777777" w:rsidR="00763B8C" w:rsidRPr="00ED11DE" w:rsidRDefault="00763B8C" w:rsidP="00ED11DE">
      <w:pPr>
        <w:rPr>
          <w:rFonts w:asciiTheme="minorHAnsi" w:hAnsiTheme="minorHAnsi" w:cstheme="minorHAnsi"/>
        </w:rPr>
      </w:pPr>
    </w:p>
    <w:sectPr w:rsidR="00763B8C" w:rsidRPr="00ED11DE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39F879B7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982880" w:rsidRPr="00CD7CED">
      <w:rPr>
        <w:rFonts w:asciiTheme="minorHAnsi" w:hAnsiTheme="minorHAnsi" w:cstheme="minorHAnsi"/>
        <w:sz w:val="20"/>
      </w:rPr>
      <w:t>06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  <w:r w:rsidR="00ED11DE">
      <w:rPr>
        <w:rFonts w:asciiTheme="minorHAnsi" w:hAnsiTheme="minorHAnsi" w:cstheme="minorHAnsi"/>
        <w:sz w:val="20"/>
      </w:rPr>
      <w:t>g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1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5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6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8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4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28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0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7"/>
  </w:num>
  <w:num w:numId="2" w16cid:durableId="1167163177">
    <w:abstractNumId w:val="24"/>
  </w:num>
  <w:num w:numId="3" w16cid:durableId="1348361478">
    <w:abstractNumId w:val="28"/>
  </w:num>
  <w:num w:numId="4" w16cid:durableId="24795102">
    <w:abstractNumId w:val="18"/>
  </w:num>
  <w:num w:numId="5" w16cid:durableId="669723670">
    <w:abstractNumId w:val="12"/>
  </w:num>
  <w:num w:numId="6" w16cid:durableId="2022924780">
    <w:abstractNumId w:val="3"/>
  </w:num>
  <w:num w:numId="7" w16cid:durableId="247348047">
    <w:abstractNumId w:val="2"/>
  </w:num>
  <w:num w:numId="8" w16cid:durableId="4524503">
    <w:abstractNumId w:val="16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11"/>
  </w:num>
  <w:num w:numId="11" w16cid:durableId="1623345309">
    <w:abstractNumId w:val="19"/>
  </w:num>
  <w:num w:numId="12" w16cid:durableId="463937359">
    <w:abstractNumId w:val="32"/>
  </w:num>
  <w:num w:numId="13" w16cid:durableId="2025934367">
    <w:abstractNumId w:val="6"/>
  </w:num>
  <w:num w:numId="14" w16cid:durableId="1199077794">
    <w:abstractNumId w:val="5"/>
  </w:num>
  <w:num w:numId="15" w16cid:durableId="737019076">
    <w:abstractNumId w:val="31"/>
  </w:num>
  <w:num w:numId="16" w16cid:durableId="652490865">
    <w:abstractNumId w:val="26"/>
  </w:num>
  <w:num w:numId="17" w16cid:durableId="1126192646">
    <w:abstractNumId w:val="14"/>
  </w:num>
  <w:num w:numId="18" w16cid:durableId="1797866961">
    <w:abstractNumId w:val="27"/>
  </w:num>
  <w:num w:numId="19" w16cid:durableId="2045910087">
    <w:abstractNumId w:val="22"/>
  </w:num>
  <w:num w:numId="20" w16cid:durableId="218639202">
    <w:abstractNumId w:val="4"/>
  </w:num>
  <w:num w:numId="21" w16cid:durableId="2120443649">
    <w:abstractNumId w:val="30"/>
  </w:num>
  <w:num w:numId="22" w16cid:durableId="195436014">
    <w:abstractNumId w:val="33"/>
  </w:num>
  <w:num w:numId="23" w16cid:durableId="1648777031">
    <w:abstractNumId w:val="29"/>
  </w:num>
  <w:num w:numId="24" w16cid:durableId="97989332">
    <w:abstractNumId w:val="13"/>
  </w:num>
  <w:num w:numId="25" w16cid:durableId="694963102">
    <w:abstractNumId w:val="9"/>
  </w:num>
  <w:num w:numId="26" w16cid:durableId="221721396">
    <w:abstractNumId w:val="21"/>
  </w:num>
  <w:num w:numId="27" w16cid:durableId="1556235800">
    <w:abstractNumId w:val="4"/>
  </w:num>
  <w:num w:numId="28" w16cid:durableId="800533188">
    <w:abstractNumId w:val="17"/>
    <w:lvlOverride w:ilvl="0">
      <w:startOverride w:val="1"/>
    </w:lvlOverride>
  </w:num>
  <w:num w:numId="29" w16cid:durableId="1935891942">
    <w:abstractNumId w:val="1"/>
  </w:num>
  <w:num w:numId="30" w16cid:durableId="859709033">
    <w:abstractNumId w:val="23"/>
    <w:lvlOverride w:ilvl="0">
      <w:startOverride w:val="1"/>
    </w:lvlOverride>
  </w:num>
  <w:num w:numId="31" w16cid:durableId="992873069">
    <w:abstractNumId w:val="15"/>
    <w:lvlOverride w:ilvl="0">
      <w:startOverride w:val="1"/>
    </w:lvlOverride>
  </w:num>
  <w:num w:numId="32" w16cid:durableId="617953923">
    <w:abstractNumId w:val="10"/>
    <w:lvlOverride w:ilvl="0">
      <w:startOverride w:val="1"/>
    </w:lvlOverride>
  </w:num>
  <w:num w:numId="33" w16cid:durableId="724255212">
    <w:abstractNumId w:val="8"/>
  </w:num>
  <w:num w:numId="34" w16cid:durableId="902640174">
    <w:abstractNumId w:val="25"/>
  </w:num>
  <w:num w:numId="35" w16cid:durableId="75289285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115A4"/>
    <w:rsid w:val="00035649"/>
    <w:rsid w:val="000A6802"/>
    <w:rsid w:val="001209B4"/>
    <w:rsid w:val="0012767A"/>
    <w:rsid w:val="0015164E"/>
    <w:rsid w:val="00156044"/>
    <w:rsid w:val="001A1EB4"/>
    <w:rsid w:val="00215182"/>
    <w:rsid w:val="0029008C"/>
    <w:rsid w:val="003322BF"/>
    <w:rsid w:val="00511AA4"/>
    <w:rsid w:val="00520564"/>
    <w:rsid w:val="00544EE1"/>
    <w:rsid w:val="005A7244"/>
    <w:rsid w:val="00605D58"/>
    <w:rsid w:val="00616952"/>
    <w:rsid w:val="006373C8"/>
    <w:rsid w:val="0064072A"/>
    <w:rsid w:val="006746EC"/>
    <w:rsid w:val="00685493"/>
    <w:rsid w:val="006E3D9A"/>
    <w:rsid w:val="0071524B"/>
    <w:rsid w:val="00751095"/>
    <w:rsid w:val="00763B8C"/>
    <w:rsid w:val="007B494A"/>
    <w:rsid w:val="007B6625"/>
    <w:rsid w:val="007E7220"/>
    <w:rsid w:val="0082738F"/>
    <w:rsid w:val="00835A86"/>
    <w:rsid w:val="0091665A"/>
    <w:rsid w:val="00982880"/>
    <w:rsid w:val="00993AC6"/>
    <w:rsid w:val="009B23F7"/>
    <w:rsid w:val="009B2C34"/>
    <w:rsid w:val="00A06518"/>
    <w:rsid w:val="00A272BC"/>
    <w:rsid w:val="00A322CD"/>
    <w:rsid w:val="00A7199A"/>
    <w:rsid w:val="00A739C6"/>
    <w:rsid w:val="00AD0716"/>
    <w:rsid w:val="00AD6FC7"/>
    <w:rsid w:val="00B54350"/>
    <w:rsid w:val="00B62A0F"/>
    <w:rsid w:val="00C11DDE"/>
    <w:rsid w:val="00C620B6"/>
    <w:rsid w:val="00CD5BB0"/>
    <w:rsid w:val="00CD7CED"/>
    <w:rsid w:val="00D17056"/>
    <w:rsid w:val="00D23378"/>
    <w:rsid w:val="00E16040"/>
    <w:rsid w:val="00E746CF"/>
    <w:rsid w:val="00ED11DE"/>
    <w:rsid w:val="00EE3779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5</Pages>
  <Words>1154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13</cp:revision>
  <dcterms:created xsi:type="dcterms:W3CDTF">2025-10-10T05:46:00Z</dcterms:created>
  <dcterms:modified xsi:type="dcterms:W3CDTF">2025-11-14T11:01:00Z</dcterms:modified>
</cp:coreProperties>
</file>